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5F4A95">
        <w:rPr>
          <w:rFonts w:ascii="Times New Roman" w:hAnsi="Times New Roman"/>
          <w:sz w:val="28"/>
          <w:szCs w:val="28"/>
          <w:lang w:eastAsia="ar-SA"/>
        </w:rPr>
        <w:t>14.09.</w:t>
      </w:r>
      <w:r w:rsidR="003152B7">
        <w:rPr>
          <w:rFonts w:ascii="Times New Roman" w:hAnsi="Times New Roman"/>
          <w:sz w:val="28"/>
          <w:szCs w:val="28"/>
          <w:lang w:eastAsia="ar-SA"/>
        </w:rPr>
        <w:t>2020</w:t>
      </w:r>
      <w:r w:rsidR="00427D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4A95">
        <w:rPr>
          <w:rFonts w:ascii="Times New Roman" w:hAnsi="Times New Roman"/>
          <w:sz w:val="28"/>
          <w:szCs w:val="28"/>
          <w:lang w:eastAsia="ar-SA"/>
        </w:rPr>
        <w:t>г</w:t>
      </w:r>
      <w:r w:rsidR="007706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№</w:t>
      </w:r>
      <w:r w:rsidR="00F644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4A95">
        <w:rPr>
          <w:rFonts w:ascii="Times New Roman" w:hAnsi="Times New Roman"/>
          <w:sz w:val="28"/>
          <w:szCs w:val="28"/>
          <w:lang w:eastAsia="ar-SA"/>
        </w:rPr>
        <w:t>108</w:t>
      </w:r>
    </w:p>
    <w:p w:rsidR="00761735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DA1071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427DC7">
        <w:rPr>
          <w:rFonts w:ascii="Times New Roman" w:hAnsi="Times New Roman"/>
          <w:b/>
          <w:bCs/>
          <w:sz w:val="28"/>
          <w:szCs w:val="28"/>
        </w:rPr>
        <w:t xml:space="preserve"> августа </w:t>
      </w:r>
      <w:r w:rsidRPr="004521F5">
        <w:rPr>
          <w:rFonts w:ascii="Times New Roman" w:hAnsi="Times New Roman"/>
          <w:b/>
          <w:bCs/>
          <w:sz w:val="28"/>
          <w:szCs w:val="28"/>
        </w:rPr>
        <w:t>2019 года № 1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в Успенском сельском поселении </w:t>
      </w:r>
    </w:p>
    <w:p w:rsidR="004521F5" w:rsidRP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21F5" w:rsidRP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21F5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4521F5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4521F5">
          <w:rPr>
            <w:rFonts w:ascii="Times New Roman" w:hAnsi="Times New Roman"/>
            <w:sz w:val="28"/>
            <w:szCs w:val="28"/>
          </w:rPr>
          <w:t>№ 131-ФЗ</w:t>
        </w:r>
      </w:hyperlink>
      <w:r w:rsidRPr="004521F5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Pr="004521F5">
        <w:rPr>
          <w:rFonts w:ascii="Times New Roman" w:hAnsi="Times New Roman"/>
          <w:sz w:val="28"/>
          <w:szCs w:val="28"/>
        </w:rPr>
        <w:t>общих</w:t>
      </w:r>
      <w:proofErr w:type="gramEnd"/>
      <w:r w:rsidRPr="004521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21F5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4521F5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427DC7">
        <w:rPr>
          <w:rFonts w:ascii="Times New Roman" w:hAnsi="Times New Roman"/>
          <w:bCs/>
          <w:sz w:val="28"/>
          <w:szCs w:val="28"/>
          <w:lang w:eastAsia="ar-SA"/>
        </w:rPr>
        <w:t xml:space="preserve"> июля </w:t>
      </w:r>
      <w:r w:rsidR="003152B7">
        <w:rPr>
          <w:rFonts w:ascii="Times New Roman" w:hAnsi="Times New Roman"/>
          <w:bCs/>
          <w:sz w:val="28"/>
          <w:szCs w:val="28"/>
          <w:lang w:eastAsia="ar-SA"/>
        </w:rPr>
        <w:t>2020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>года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="00427DC7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323060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4521F5">
        <w:rPr>
          <w:rFonts w:ascii="Times New Roman" w:hAnsi="Times New Roman"/>
          <w:sz w:val="28"/>
          <w:szCs w:val="28"/>
        </w:rPr>
        <w:t>О направлении остатков средств бюджета Успенского</w:t>
      </w:r>
      <w:proofErr w:type="gramEnd"/>
      <w:r w:rsidRPr="004521F5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и внесении изменений в решение Совета Успенского сельского поселения Белоглинского района</w:t>
      </w:r>
      <w:r w:rsidR="00427DC7">
        <w:rPr>
          <w:rFonts w:ascii="Times New Roman" w:hAnsi="Times New Roman"/>
          <w:sz w:val="28"/>
          <w:szCs w:val="28"/>
        </w:rPr>
        <w:t xml:space="preserve"> от 10  декабря 2019 года № 7.</w:t>
      </w:r>
      <w:r w:rsidRPr="004521F5">
        <w:rPr>
          <w:rFonts w:ascii="Times New Roman" w:hAnsi="Times New Roman"/>
          <w:sz w:val="28"/>
          <w:szCs w:val="28"/>
        </w:rPr>
        <w:t>1 «О бюджете Успенского сельского поселения Белоглинского района на 2020 год»</w:t>
      </w:r>
      <w:r w:rsidRPr="004521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521F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521F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521F5">
        <w:rPr>
          <w:rFonts w:ascii="Times New Roman" w:hAnsi="Times New Roman"/>
          <w:sz w:val="28"/>
          <w:szCs w:val="28"/>
        </w:rPr>
        <w:t>н</w:t>
      </w:r>
      <w:proofErr w:type="spellEnd"/>
      <w:r w:rsidRPr="004521F5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>
        <w:rPr>
          <w:rFonts w:ascii="Times New Roman" w:hAnsi="Times New Roman"/>
          <w:sz w:val="28"/>
          <w:szCs w:val="28"/>
        </w:rPr>
        <w:t xml:space="preserve"> </w:t>
      </w:r>
      <w:r w:rsidRPr="00F644D1">
        <w:rPr>
          <w:rFonts w:ascii="Times New Roman" w:hAnsi="Times New Roman"/>
          <w:sz w:val="28"/>
          <w:szCs w:val="28"/>
        </w:rPr>
        <w:t xml:space="preserve">от </w:t>
      </w:r>
      <w:r w:rsidR="00770671" w:rsidRPr="00F644D1">
        <w:rPr>
          <w:rFonts w:ascii="Times New Roman" w:hAnsi="Times New Roman"/>
          <w:sz w:val="28"/>
          <w:szCs w:val="28"/>
        </w:rPr>
        <w:t>30 августа</w:t>
      </w:r>
      <w:r w:rsidR="00997EBF" w:rsidRPr="00F644D1">
        <w:rPr>
          <w:rFonts w:ascii="Times New Roman" w:hAnsi="Times New Roman"/>
          <w:sz w:val="28"/>
          <w:szCs w:val="28"/>
        </w:rPr>
        <w:t xml:space="preserve"> </w:t>
      </w:r>
      <w:r w:rsidR="003152B7" w:rsidRPr="00F644D1">
        <w:rPr>
          <w:rFonts w:ascii="Times New Roman" w:hAnsi="Times New Roman"/>
          <w:sz w:val="28"/>
          <w:szCs w:val="28"/>
        </w:rPr>
        <w:t xml:space="preserve"> 20</w:t>
      </w:r>
      <w:r w:rsidR="00770671" w:rsidRPr="00F644D1">
        <w:rPr>
          <w:rFonts w:ascii="Times New Roman" w:hAnsi="Times New Roman"/>
          <w:sz w:val="28"/>
          <w:szCs w:val="28"/>
        </w:rPr>
        <w:t>19</w:t>
      </w:r>
      <w:r w:rsidR="003152B7" w:rsidRPr="00F644D1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F644D1">
        <w:rPr>
          <w:rFonts w:ascii="Times New Roman" w:hAnsi="Times New Roman"/>
          <w:sz w:val="28"/>
          <w:szCs w:val="28"/>
        </w:rPr>
        <w:t>127</w:t>
      </w:r>
      <w:r w:rsidRPr="00F644D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«Р</w:t>
      </w:r>
      <w:r w:rsidRPr="00F644D1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Pr="00F644D1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F644D1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коммунального хозяйства</w:t>
      </w:r>
      <w:r w:rsidRPr="004521F5">
        <w:rPr>
          <w:rFonts w:ascii="Times New Roman" w:hAnsi="Times New Roman"/>
          <w:bCs/>
          <w:sz w:val="28"/>
          <w:szCs w:val="28"/>
        </w:rPr>
        <w:t xml:space="preserve"> в Успенском сельском поселении Белоглинского района»</w:t>
      </w:r>
      <w:r w:rsidRPr="004521F5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5E46FC" w:rsidRPr="004521F5" w:rsidRDefault="005E46FC" w:rsidP="005E4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3B97"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F644D1">
        <w:rPr>
          <w:rFonts w:ascii="Times New Roman" w:hAnsi="Times New Roman"/>
          <w:sz w:val="28"/>
          <w:szCs w:val="28"/>
        </w:rPr>
        <w:t xml:space="preserve">от </w:t>
      </w:r>
      <w:r w:rsidR="005F4A95">
        <w:rPr>
          <w:rFonts w:ascii="Times New Roman" w:hAnsi="Times New Roman"/>
          <w:sz w:val="28"/>
          <w:szCs w:val="28"/>
        </w:rPr>
        <w:t>14</w:t>
      </w:r>
      <w:r w:rsidR="00427DC7">
        <w:rPr>
          <w:rFonts w:ascii="Times New Roman" w:hAnsi="Times New Roman"/>
          <w:sz w:val="28"/>
          <w:szCs w:val="28"/>
        </w:rPr>
        <w:t xml:space="preserve"> августа </w:t>
      </w:r>
      <w:r w:rsidRPr="00F644D1">
        <w:rPr>
          <w:rFonts w:ascii="Times New Roman" w:hAnsi="Times New Roman"/>
          <w:sz w:val="28"/>
          <w:szCs w:val="28"/>
        </w:rPr>
        <w:t>2020 года №</w:t>
      </w:r>
      <w:r w:rsidR="005F4A95">
        <w:rPr>
          <w:rFonts w:ascii="Times New Roman" w:hAnsi="Times New Roman"/>
          <w:sz w:val="28"/>
          <w:szCs w:val="28"/>
        </w:rPr>
        <w:t xml:space="preserve"> 88</w:t>
      </w:r>
      <w:r w:rsidRPr="00F644D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Успенского сельского поселения Белоглинского района от 30</w:t>
      </w:r>
      <w:r w:rsidR="00427DC7">
        <w:rPr>
          <w:rFonts w:ascii="Times New Roman" w:hAnsi="Times New Roman"/>
          <w:sz w:val="28"/>
          <w:szCs w:val="28"/>
        </w:rPr>
        <w:t xml:space="preserve"> августа </w:t>
      </w:r>
      <w:r w:rsidRPr="00F644D1">
        <w:rPr>
          <w:rFonts w:ascii="Times New Roman" w:hAnsi="Times New Roman"/>
          <w:sz w:val="28"/>
          <w:szCs w:val="28"/>
        </w:rPr>
        <w:t>2019 года № 127 «Об утверждении муниципальной программы</w:t>
      </w:r>
      <w:r w:rsidRPr="00F644D1">
        <w:rPr>
          <w:rFonts w:ascii="Times New Roman" w:hAnsi="Times New Roman"/>
          <w:sz w:val="32"/>
          <w:szCs w:val="28"/>
        </w:rPr>
        <w:t xml:space="preserve">  </w:t>
      </w:r>
      <w:r w:rsidRPr="00773B97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Pr="00773B97">
        <w:rPr>
          <w:rFonts w:ascii="Times New Roman" w:hAnsi="Times New Roman"/>
          <w:sz w:val="28"/>
          <w:szCs w:val="28"/>
        </w:rPr>
        <w:t>жилищно</w:t>
      </w:r>
      <w:proofErr w:type="spellEnd"/>
      <w:r w:rsidRPr="00773B97">
        <w:rPr>
          <w:rFonts w:ascii="Times New Roman" w:hAnsi="Times New Roman"/>
          <w:sz w:val="28"/>
          <w:szCs w:val="28"/>
        </w:rPr>
        <w:t xml:space="preserve"> – коммунального хозяйства в Успенском сельском поселении Белоглинского района»  признать утратившим силу.</w:t>
      </w:r>
    </w:p>
    <w:p w:rsidR="005E46FC" w:rsidRPr="004521F5" w:rsidRDefault="005E46FC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E06" w:rsidRDefault="005E46FC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F5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proofErr w:type="spellStart"/>
      <w:r w:rsidR="00323060">
        <w:rPr>
          <w:rFonts w:ascii="Times New Roman" w:hAnsi="Times New Roman"/>
          <w:sz w:val="28"/>
          <w:szCs w:val="28"/>
          <w:lang w:eastAsia="ru-RU"/>
        </w:rPr>
        <w:t>А.В.Дергаусовой</w:t>
      </w:r>
      <w:proofErr w:type="spellEnd"/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5E46FC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</w:t>
      </w:r>
      <w:proofErr w:type="gramStart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5E46FC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BF164A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BF164A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5F4A95">
        <w:rPr>
          <w:rFonts w:ascii="Times New Roman" w:hAnsi="Times New Roman"/>
          <w:sz w:val="28"/>
          <w:szCs w:val="28"/>
          <w:lang w:eastAsia="ar-SA"/>
        </w:rPr>
        <w:t>14.09.2020 № 108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CF2DDA" w:rsidTr="00966352">
        <w:tc>
          <w:tcPr>
            <w:tcW w:w="2628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521AC0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</w:t>
            </w:r>
            <w:r w:rsidR="007B7A51"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54831,2</w:t>
            </w:r>
            <w:r w:rsidR="007A412C"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тысяч</w:t>
            </w:r>
            <w:r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CF2DDA"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год – </w:t>
            </w:r>
            <w:r w:rsidR="009D45EF" w:rsidRPr="00521AC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13 181,2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45A2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495,0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CF2DDA" w:rsidRDefault="00906FAE" w:rsidP="003F0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445,0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CF2DDA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 xml:space="preserve">   2024 год - </w:t>
      </w:r>
      <w:r w:rsidR="003A16FA">
        <w:rPr>
          <w:rFonts w:ascii="Times New Roman" w:hAnsi="Times New Roman"/>
          <w:sz w:val="28"/>
          <w:szCs w:val="28"/>
          <w:lang w:eastAsia="ru-RU"/>
        </w:rPr>
        <w:t>10</w:t>
      </w:r>
      <w:r w:rsidR="00CB3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>
        <w:rPr>
          <w:rFonts w:ascii="Times New Roman" w:hAnsi="Times New Roman"/>
          <w:sz w:val="28"/>
          <w:szCs w:val="28"/>
          <w:lang w:eastAsia="ru-RU"/>
        </w:rPr>
        <w:t>445,0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>тысяча рублей.</w:t>
      </w: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>
        <w:rPr>
          <w:rFonts w:ascii="Times New Roman" w:hAnsi="Times New Roman"/>
          <w:sz w:val="28"/>
          <w:szCs w:val="28"/>
          <w:lang w:eastAsia="ru-RU"/>
        </w:rPr>
        <w:t>20</w:t>
      </w:r>
      <w:r w:rsidRPr="00DA1071">
        <w:rPr>
          <w:rFonts w:ascii="Times New Roman" w:hAnsi="Times New Roman"/>
          <w:sz w:val="28"/>
          <w:szCs w:val="28"/>
          <w:lang w:eastAsia="ru-RU"/>
        </w:rPr>
        <w:t>-20</w:t>
      </w:r>
      <w:r w:rsidR="00A41616">
        <w:rPr>
          <w:rFonts w:ascii="Times New Roman" w:hAnsi="Times New Roman"/>
          <w:sz w:val="28"/>
          <w:szCs w:val="28"/>
          <w:lang w:eastAsia="ru-RU"/>
        </w:rPr>
        <w:t>24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>
        <w:rPr>
          <w:rFonts w:ascii="Times New Roman" w:hAnsi="Times New Roman"/>
          <w:sz w:val="28"/>
          <w:szCs w:val="28"/>
          <w:lang w:eastAsia="ru-RU"/>
        </w:rPr>
        <w:t>51 </w:t>
      </w:r>
      <w:r w:rsidR="004F724D">
        <w:rPr>
          <w:rFonts w:ascii="Times New Roman" w:hAnsi="Times New Roman"/>
          <w:sz w:val="28"/>
          <w:szCs w:val="28"/>
          <w:lang w:eastAsia="ru-RU"/>
        </w:rPr>
        <w:t>998</w:t>
      </w:r>
      <w:r w:rsidR="00B854D6">
        <w:rPr>
          <w:rFonts w:ascii="Times New Roman" w:hAnsi="Times New Roman"/>
          <w:sz w:val="28"/>
          <w:szCs w:val="28"/>
          <w:lang w:eastAsia="ru-RU"/>
        </w:rPr>
        <w:t>,7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один</w:t>
      </w:r>
      <w:r w:rsidR="00941B4C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4F724D">
        <w:rPr>
          <w:rFonts w:ascii="Times New Roman" w:hAnsi="Times New Roman"/>
          <w:sz w:val="28"/>
          <w:szCs w:val="28"/>
          <w:lang w:eastAsia="ru-RU"/>
        </w:rPr>
        <w:t>девятьсот девяносто восемь</w:t>
      </w:r>
      <w:r w:rsidR="003A16FA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DA1071">
        <w:rPr>
          <w:rFonts w:ascii="Times New Roman" w:hAnsi="Times New Roman"/>
          <w:sz w:val="28"/>
          <w:szCs w:val="20"/>
          <w:lang w:eastAsia="ar-SA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A1071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DA1071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A1071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DA1071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7B7A51">
        <w:trPr>
          <w:trHeight w:val="5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DA1071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8425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  <w:r w:rsidRPr="002211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7B7A51" w:rsidP="005E1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54831,2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5E1008" w:rsidP="004978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благоприятной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7B7A51" w:rsidP="005E1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54831,2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5E1008" w:rsidP="004978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10 445,0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84425F" w:rsidP="004F7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DA1071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84253" w:rsidRDefault="00BF3F16" w:rsidP="00D8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84425F" w:rsidP="00BA3E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8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A3E6A" w:rsidP="00C73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1700,</w:t>
            </w:r>
            <w:r w:rsidR="00BF3F16"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7A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FE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D0A62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D0A62" w:rsidP="006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пунктов</w:t>
            </w:r>
            <w:proofErr w:type="spellEnd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нское хозяйственное объединение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D0A62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D0A62" w:rsidP="006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стрый сбор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A3E6A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A3E6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A3E6A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A3E6A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24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A3E6A" w:rsidP="0002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Приобретение баннеров.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8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4F724D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F724D" w:rsidRDefault="00BF3F16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1345A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17E76" w:rsidP="00C0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42217,0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A3E6A" w:rsidP="00B17E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82</w:t>
            </w:r>
            <w:r w:rsidR="00B17E76"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B17E76"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17E76" w:rsidP="00C0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42217,0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BA3E6A" w:rsidP="00B17E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82</w:t>
            </w:r>
            <w:r w:rsidR="00B17E76"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B17E76"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529CB" w:rsidRDefault="00BF3F16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Default="001345A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CF2159" w:rsidRDefault="00BF3F16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3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97E5C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7278,6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97E5C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97E5C" w:rsidP="0069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7278</w:t>
            </w:r>
            <w:r w:rsidR="00BF3F16"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697E5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A36B29" w:rsidRDefault="00BF3F16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17E76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9D45EF" w:rsidP="00A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A0273B"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17E7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21AC0" w:rsidRDefault="00A0273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21AC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Default="00BF3F16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DA1071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071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7DC7" w:rsidRDefault="00427DC7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58" w:rsidRDefault="00AA7358">
      <w:pPr>
        <w:spacing w:after="0" w:line="240" w:lineRule="auto"/>
      </w:pPr>
      <w:r>
        <w:separator/>
      </w:r>
    </w:p>
  </w:endnote>
  <w:endnote w:type="continuationSeparator" w:id="0">
    <w:p w:rsidR="00AA7358" w:rsidRDefault="00AA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58" w:rsidRDefault="00AA7358">
      <w:pPr>
        <w:spacing w:after="0" w:line="240" w:lineRule="auto"/>
      </w:pPr>
      <w:r>
        <w:separator/>
      </w:r>
    </w:p>
  </w:footnote>
  <w:footnote w:type="continuationSeparator" w:id="0">
    <w:p w:rsidR="00AA7358" w:rsidRDefault="00AA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6" w:rsidRDefault="003165A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17E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7E76" w:rsidRDefault="00B17E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6" w:rsidRDefault="003165A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17E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7E76" w:rsidRDefault="00B17E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20727"/>
    <w:rsid w:val="00020E88"/>
    <w:rsid w:val="00037E4C"/>
    <w:rsid w:val="000430E4"/>
    <w:rsid w:val="00045A21"/>
    <w:rsid w:val="000517B0"/>
    <w:rsid w:val="00052B91"/>
    <w:rsid w:val="00066772"/>
    <w:rsid w:val="000713D4"/>
    <w:rsid w:val="000845EC"/>
    <w:rsid w:val="00091E6B"/>
    <w:rsid w:val="000A1DFB"/>
    <w:rsid w:val="000A34C6"/>
    <w:rsid w:val="000A7A34"/>
    <w:rsid w:val="000B0082"/>
    <w:rsid w:val="000B3802"/>
    <w:rsid w:val="000C4522"/>
    <w:rsid w:val="000D204D"/>
    <w:rsid w:val="000D34B6"/>
    <w:rsid w:val="000D76BA"/>
    <w:rsid w:val="000E4CA0"/>
    <w:rsid w:val="000E6023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24465"/>
    <w:rsid w:val="00124D49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C539C"/>
    <w:rsid w:val="001D1392"/>
    <w:rsid w:val="001D7C88"/>
    <w:rsid w:val="001E0FAB"/>
    <w:rsid w:val="001E1C60"/>
    <w:rsid w:val="001F4DC4"/>
    <w:rsid w:val="00213B54"/>
    <w:rsid w:val="002211EE"/>
    <w:rsid w:val="0023735C"/>
    <w:rsid w:val="00240738"/>
    <w:rsid w:val="00245FD3"/>
    <w:rsid w:val="00264883"/>
    <w:rsid w:val="002753D3"/>
    <w:rsid w:val="00293207"/>
    <w:rsid w:val="002A36FB"/>
    <w:rsid w:val="002B1C5D"/>
    <w:rsid w:val="002C03A7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29BE"/>
    <w:rsid w:val="002E5743"/>
    <w:rsid w:val="003126C6"/>
    <w:rsid w:val="003152B7"/>
    <w:rsid w:val="003165A9"/>
    <w:rsid w:val="00323060"/>
    <w:rsid w:val="00323E4F"/>
    <w:rsid w:val="00327C04"/>
    <w:rsid w:val="003331BC"/>
    <w:rsid w:val="00356C49"/>
    <w:rsid w:val="00364193"/>
    <w:rsid w:val="00365E52"/>
    <w:rsid w:val="0036640D"/>
    <w:rsid w:val="0037396D"/>
    <w:rsid w:val="00391BD9"/>
    <w:rsid w:val="003A16FA"/>
    <w:rsid w:val="003B7264"/>
    <w:rsid w:val="003D163A"/>
    <w:rsid w:val="003D386F"/>
    <w:rsid w:val="003D481E"/>
    <w:rsid w:val="003D7194"/>
    <w:rsid w:val="003E394A"/>
    <w:rsid w:val="003F09A2"/>
    <w:rsid w:val="00427DC7"/>
    <w:rsid w:val="0043099A"/>
    <w:rsid w:val="00430C84"/>
    <w:rsid w:val="004312A7"/>
    <w:rsid w:val="00434674"/>
    <w:rsid w:val="00437F0D"/>
    <w:rsid w:val="004405A8"/>
    <w:rsid w:val="0044659E"/>
    <w:rsid w:val="00451655"/>
    <w:rsid w:val="004521F5"/>
    <w:rsid w:val="00452C41"/>
    <w:rsid w:val="0045530D"/>
    <w:rsid w:val="00465659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B1301"/>
    <w:rsid w:val="004B3AE2"/>
    <w:rsid w:val="004B731A"/>
    <w:rsid w:val="004B75D8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4600"/>
    <w:rsid w:val="0051723A"/>
    <w:rsid w:val="00521AC0"/>
    <w:rsid w:val="00547E06"/>
    <w:rsid w:val="00550774"/>
    <w:rsid w:val="00564051"/>
    <w:rsid w:val="005717AD"/>
    <w:rsid w:val="005726C2"/>
    <w:rsid w:val="005768F3"/>
    <w:rsid w:val="0058706E"/>
    <w:rsid w:val="005A2662"/>
    <w:rsid w:val="005A29AA"/>
    <w:rsid w:val="005A4247"/>
    <w:rsid w:val="005A7B29"/>
    <w:rsid w:val="005B32A1"/>
    <w:rsid w:val="005C7214"/>
    <w:rsid w:val="005D3EE6"/>
    <w:rsid w:val="005E1008"/>
    <w:rsid w:val="005E46FC"/>
    <w:rsid w:val="005E7E12"/>
    <w:rsid w:val="005F2B75"/>
    <w:rsid w:val="005F4A95"/>
    <w:rsid w:val="00602F06"/>
    <w:rsid w:val="0060770B"/>
    <w:rsid w:val="00612524"/>
    <w:rsid w:val="00620A7D"/>
    <w:rsid w:val="00620F0B"/>
    <w:rsid w:val="00622BF8"/>
    <w:rsid w:val="00626182"/>
    <w:rsid w:val="00626A7E"/>
    <w:rsid w:val="00631DF2"/>
    <w:rsid w:val="006456EC"/>
    <w:rsid w:val="006601F8"/>
    <w:rsid w:val="006647B2"/>
    <w:rsid w:val="00664F8F"/>
    <w:rsid w:val="00666468"/>
    <w:rsid w:val="00666F33"/>
    <w:rsid w:val="00672AB0"/>
    <w:rsid w:val="00673B0D"/>
    <w:rsid w:val="00675584"/>
    <w:rsid w:val="00680240"/>
    <w:rsid w:val="00685D9C"/>
    <w:rsid w:val="00690CF8"/>
    <w:rsid w:val="006933AE"/>
    <w:rsid w:val="0069647C"/>
    <w:rsid w:val="00697E5C"/>
    <w:rsid w:val="006A0BC6"/>
    <w:rsid w:val="006A1EF7"/>
    <w:rsid w:val="006A486E"/>
    <w:rsid w:val="006B2A91"/>
    <w:rsid w:val="006B69E5"/>
    <w:rsid w:val="006C10C0"/>
    <w:rsid w:val="006C547C"/>
    <w:rsid w:val="006C6621"/>
    <w:rsid w:val="006C7C16"/>
    <w:rsid w:val="006D0257"/>
    <w:rsid w:val="006D0A62"/>
    <w:rsid w:val="006D4821"/>
    <w:rsid w:val="006D76D6"/>
    <w:rsid w:val="006D7BE2"/>
    <w:rsid w:val="006E1338"/>
    <w:rsid w:val="006F248B"/>
    <w:rsid w:val="007027C9"/>
    <w:rsid w:val="007032D3"/>
    <w:rsid w:val="0072540D"/>
    <w:rsid w:val="00727AAC"/>
    <w:rsid w:val="00733152"/>
    <w:rsid w:val="00747498"/>
    <w:rsid w:val="0075058C"/>
    <w:rsid w:val="00754FD6"/>
    <w:rsid w:val="00761735"/>
    <w:rsid w:val="00766F85"/>
    <w:rsid w:val="00770671"/>
    <w:rsid w:val="00772157"/>
    <w:rsid w:val="00784AC8"/>
    <w:rsid w:val="00784D7F"/>
    <w:rsid w:val="00787D78"/>
    <w:rsid w:val="00793A3A"/>
    <w:rsid w:val="007A2C76"/>
    <w:rsid w:val="007A412C"/>
    <w:rsid w:val="007A4EDD"/>
    <w:rsid w:val="007B6368"/>
    <w:rsid w:val="007B78BC"/>
    <w:rsid w:val="007B7A51"/>
    <w:rsid w:val="007C22B5"/>
    <w:rsid w:val="007C5CDE"/>
    <w:rsid w:val="007C6076"/>
    <w:rsid w:val="007E0476"/>
    <w:rsid w:val="00803185"/>
    <w:rsid w:val="00803D6D"/>
    <w:rsid w:val="00813376"/>
    <w:rsid w:val="008257B9"/>
    <w:rsid w:val="00825D69"/>
    <w:rsid w:val="008323C8"/>
    <w:rsid w:val="008324A9"/>
    <w:rsid w:val="0084425F"/>
    <w:rsid w:val="008463A8"/>
    <w:rsid w:val="00850A8A"/>
    <w:rsid w:val="00851BEE"/>
    <w:rsid w:val="00855625"/>
    <w:rsid w:val="008572FB"/>
    <w:rsid w:val="0086190F"/>
    <w:rsid w:val="00863FBA"/>
    <w:rsid w:val="008778D6"/>
    <w:rsid w:val="008873CF"/>
    <w:rsid w:val="008915AF"/>
    <w:rsid w:val="008A3013"/>
    <w:rsid w:val="008A5B03"/>
    <w:rsid w:val="008B4411"/>
    <w:rsid w:val="008B6EC3"/>
    <w:rsid w:val="008C50B2"/>
    <w:rsid w:val="008D1F0E"/>
    <w:rsid w:val="008D7758"/>
    <w:rsid w:val="008E14A6"/>
    <w:rsid w:val="008E271E"/>
    <w:rsid w:val="008F0F1E"/>
    <w:rsid w:val="008F4CE1"/>
    <w:rsid w:val="008F5693"/>
    <w:rsid w:val="008F6D32"/>
    <w:rsid w:val="009021F2"/>
    <w:rsid w:val="00905E8C"/>
    <w:rsid w:val="00906FAE"/>
    <w:rsid w:val="0091059B"/>
    <w:rsid w:val="0093470E"/>
    <w:rsid w:val="00934AEF"/>
    <w:rsid w:val="009354D1"/>
    <w:rsid w:val="00936A88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B53FF"/>
    <w:rsid w:val="009C0FF0"/>
    <w:rsid w:val="009D45EF"/>
    <w:rsid w:val="009D5993"/>
    <w:rsid w:val="009F0F00"/>
    <w:rsid w:val="009F6B75"/>
    <w:rsid w:val="00A0273B"/>
    <w:rsid w:val="00A02B76"/>
    <w:rsid w:val="00A068E4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C0C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914A9"/>
    <w:rsid w:val="00AA7358"/>
    <w:rsid w:val="00AB6CEB"/>
    <w:rsid w:val="00AC4BA4"/>
    <w:rsid w:val="00AC4D69"/>
    <w:rsid w:val="00AD00A6"/>
    <w:rsid w:val="00AD1E12"/>
    <w:rsid w:val="00AE22A7"/>
    <w:rsid w:val="00AF5D9F"/>
    <w:rsid w:val="00B033BD"/>
    <w:rsid w:val="00B06558"/>
    <w:rsid w:val="00B141BD"/>
    <w:rsid w:val="00B17E76"/>
    <w:rsid w:val="00B27847"/>
    <w:rsid w:val="00B54FB4"/>
    <w:rsid w:val="00B607A0"/>
    <w:rsid w:val="00B6196F"/>
    <w:rsid w:val="00B705AE"/>
    <w:rsid w:val="00B854D6"/>
    <w:rsid w:val="00B864B1"/>
    <w:rsid w:val="00B938BB"/>
    <w:rsid w:val="00B96E50"/>
    <w:rsid w:val="00BA3E6A"/>
    <w:rsid w:val="00BA4290"/>
    <w:rsid w:val="00BA70E4"/>
    <w:rsid w:val="00BB0F0B"/>
    <w:rsid w:val="00BB147D"/>
    <w:rsid w:val="00BB2BB5"/>
    <w:rsid w:val="00BC36A1"/>
    <w:rsid w:val="00BD045D"/>
    <w:rsid w:val="00BE4E6C"/>
    <w:rsid w:val="00BF164A"/>
    <w:rsid w:val="00BF3F16"/>
    <w:rsid w:val="00C03A96"/>
    <w:rsid w:val="00C16A31"/>
    <w:rsid w:val="00C21D1B"/>
    <w:rsid w:val="00C34698"/>
    <w:rsid w:val="00C41541"/>
    <w:rsid w:val="00C442D1"/>
    <w:rsid w:val="00C45B2C"/>
    <w:rsid w:val="00C47504"/>
    <w:rsid w:val="00C529CB"/>
    <w:rsid w:val="00C730E9"/>
    <w:rsid w:val="00C74865"/>
    <w:rsid w:val="00C80322"/>
    <w:rsid w:val="00C80431"/>
    <w:rsid w:val="00C83BAA"/>
    <w:rsid w:val="00C86F83"/>
    <w:rsid w:val="00C87184"/>
    <w:rsid w:val="00C87824"/>
    <w:rsid w:val="00C92638"/>
    <w:rsid w:val="00C94EBE"/>
    <w:rsid w:val="00CA21E9"/>
    <w:rsid w:val="00CA2DC8"/>
    <w:rsid w:val="00CB1744"/>
    <w:rsid w:val="00CB3C14"/>
    <w:rsid w:val="00CB6887"/>
    <w:rsid w:val="00CC222C"/>
    <w:rsid w:val="00CD0AD8"/>
    <w:rsid w:val="00CE0853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40DB"/>
    <w:rsid w:val="00D57F95"/>
    <w:rsid w:val="00D61BC2"/>
    <w:rsid w:val="00D62747"/>
    <w:rsid w:val="00D65668"/>
    <w:rsid w:val="00D67953"/>
    <w:rsid w:val="00D74B43"/>
    <w:rsid w:val="00D815C1"/>
    <w:rsid w:val="00D82293"/>
    <w:rsid w:val="00D82915"/>
    <w:rsid w:val="00D84253"/>
    <w:rsid w:val="00DA0EEA"/>
    <w:rsid w:val="00DA1071"/>
    <w:rsid w:val="00DB118B"/>
    <w:rsid w:val="00DB25AD"/>
    <w:rsid w:val="00DB55DF"/>
    <w:rsid w:val="00DC5BB8"/>
    <w:rsid w:val="00DC5DD0"/>
    <w:rsid w:val="00DC6B15"/>
    <w:rsid w:val="00DD3E40"/>
    <w:rsid w:val="00DD5F09"/>
    <w:rsid w:val="00DE26DC"/>
    <w:rsid w:val="00DE6169"/>
    <w:rsid w:val="00DE7A82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6428F"/>
    <w:rsid w:val="00E75D29"/>
    <w:rsid w:val="00E76DF0"/>
    <w:rsid w:val="00E84685"/>
    <w:rsid w:val="00E87FAD"/>
    <w:rsid w:val="00E90198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9661D"/>
    <w:rsid w:val="00F97769"/>
    <w:rsid w:val="00FA0FC7"/>
    <w:rsid w:val="00FB2CC0"/>
    <w:rsid w:val="00FB3B9E"/>
    <w:rsid w:val="00FB3F0E"/>
    <w:rsid w:val="00FC2C8A"/>
    <w:rsid w:val="00FC59FF"/>
    <w:rsid w:val="00FD37AF"/>
    <w:rsid w:val="00FE1A20"/>
    <w:rsid w:val="00FF0972"/>
    <w:rsid w:val="00FF1099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406A-B264-473B-9244-EAC2839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29</Pages>
  <Words>7877</Words>
  <Characters>44900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43</cp:revision>
  <cp:lastPrinted>2020-06-18T12:42:00Z</cp:lastPrinted>
  <dcterms:created xsi:type="dcterms:W3CDTF">2020-05-14T11:53:00Z</dcterms:created>
  <dcterms:modified xsi:type="dcterms:W3CDTF">2020-09-21T07:10:00Z</dcterms:modified>
</cp:coreProperties>
</file>