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Default="008F0F1E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815C1">
        <w:rPr>
          <w:rFonts w:ascii="Times New Roman" w:hAnsi="Times New Roman"/>
          <w:sz w:val="28"/>
          <w:szCs w:val="28"/>
          <w:lang w:eastAsia="ar-SA"/>
        </w:rPr>
        <w:t>15.02.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№ </w:t>
      </w:r>
      <w:r w:rsidR="00D815C1">
        <w:rPr>
          <w:rFonts w:ascii="Times New Roman" w:hAnsi="Times New Roman"/>
          <w:sz w:val="28"/>
          <w:szCs w:val="28"/>
          <w:lang w:eastAsia="ar-SA"/>
        </w:rPr>
        <w:t>24</w:t>
      </w:r>
      <w:bookmarkStart w:id="0" w:name="_GoBack"/>
      <w:bookmarkEnd w:id="0"/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9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A83D68" w:rsidRPr="00A83D68">
        <w:rPr>
          <w:rFonts w:ascii="Times New Roman" w:hAnsi="Times New Roman"/>
          <w:sz w:val="28"/>
          <w:szCs w:val="28"/>
        </w:rPr>
        <w:t xml:space="preserve">руководствуясь </w:t>
      </w:r>
      <w:r w:rsidR="00EA4963" w:rsidRPr="00EA4963">
        <w:rPr>
          <w:rFonts w:ascii="Times New Roman" w:hAnsi="Times New Roman"/>
          <w:bCs/>
          <w:sz w:val="28"/>
          <w:szCs w:val="28"/>
          <w:lang w:eastAsia="ar-SA"/>
        </w:rPr>
        <w:t>решением Совета Успенского сельского поселения Белоглинского района от 08 февраля 2019 года № 85 § 1 «</w:t>
      </w:r>
      <w:r w:rsidR="00EA4963" w:rsidRPr="00EA4963">
        <w:rPr>
          <w:rFonts w:ascii="Times New Roman" w:hAnsi="Times New Roman"/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A83D68" w:rsidRPr="00A83D68">
        <w:rPr>
          <w:rFonts w:ascii="Times New Roman" w:hAnsi="Times New Roman"/>
          <w:sz w:val="28"/>
          <w:szCs w:val="28"/>
        </w:rPr>
        <w:t xml:space="preserve">  </w:t>
      </w:r>
      <w:r w:rsidR="004B75D8">
        <w:rPr>
          <w:rFonts w:ascii="Times New Roman" w:hAnsi="Times New Roman"/>
          <w:sz w:val="28"/>
          <w:szCs w:val="28"/>
        </w:rPr>
        <w:t xml:space="preserve">              </w:t>
      </w:r>
      <w:r w:rsidR="00A83D68" w:rsidRPr="00A83D68">
        <w:rPr>
          <w:rFonts w:ascii="Times New Roman" w:hAnsi="Times New Roman"/>
          <w:sz w:val="28"/>
          <w:szCs w:val="28"/>
        </w:rPr>
        <w:t xml:space="preserve"> 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547E06" w:rsidRDefault="009544B8" w:rsidP="00D8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EA4963">
        <w:rPr>
          <w:rFonts w:ascii="Times New Roman" w:hAnsi="Times New Roman"/>
          <w:bCs/>
          <w:sz w:val="28"/>
          <w:szCs w:val="28"/>
          <w:lang w:eastAsia="ar-SA"/>
        </w:rPr>
        <w:t>19</w:t>
      </w:r>
      <w:r w:rsidR="00CE2F91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A4963">
        <w:rPr>
          <w:rFonts w:ascii="Times New Roman" w:hAnsi="Times New Roman"/>
          <w:bCs/>
          <w:sz w:val="28"/>
          <w:szCs w:val="28"/>
          <w:lang w:eastAsia="ar-SA"/>
        </w:rPr>
        <w:t>декабря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8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EA4963">
        <w:rPr>
          <w:rFonts w:ascii="Times New Roman" w:hAnsi="Times New Roman"/>
          <w:bCs/>
          <w:sz w:val="28"/>
          <w:szCs w:val="28"/>
          <w:lang w:eastAsia="ar-SA"/>
        </w:rPr>
        <w:t>184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0B380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0B380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DA1071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D815C1">
        <w:rPr>
          <w:rFonts w:ascii="Times New Roman" w:hAnsi="Times New Roman"/>
          <w:sz w:val="28"/>
          <w:szCs w:val="28"/>
          <w:lang w:eastAsia="ar-SA"/>
        </w:rPr>
        <w:t>15.02.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815C1">
        <w:rPr>
          <w:rFonts w:ascii="Times New Roman" w:hAnsi="Times New Roman"/>
          <w:sz w:val="28"/>
          <w:szCs w:val="28"/>
          <w:lang w:eastAsia="ar-SA"/>
        </w:rPr>
        <w:t>24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EA4963">
              <w:rPr>
                <w:rFonts w:ascii="Times New Roman" w:hAnsi="Times New Roman"/>
                <w:sz w:val="28"/>
                <w:szCs w:val="28"/>
                <w:lang w:eastAsia="ru-RU"/>
              </w:rPr>
              <w:t>38437,0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4B75D8">
              <w:rPr>
                <w:rFonts w:ascii="Times New Roman" w:hAnsi="Times New Roman"/>
                <w:sz w:val="28"/>
                <w:szCs w:val="28"/>
                <w:lang w:eastAsia="ru-RU"/>
              </w:rPr>
              <w:t>12123,9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EA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4B75D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A4963">
              <w:rPr>
                <w:rFonts w:ascii="Times New Roman" w:hAnsi="Times New Roman"/>
                <w:sz w:val="28"/>
                <w:szCs w:val="28"/>
                <w:lang w:eastAsia="ru-RU"/>
              </w:rPr>
              <w:t>950</w:t>
            </w:r>
            <w:r w:rsidR="004B75D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2016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EA4963">
        <w:rPr>
          <w:rFonts w:ascii="Times New Roman" w:hAnsi="Times New Roman"/>
          <w:sz w:val="28"/>
          <w:szCs w:val="28"/>
          <w:lang w:eastAsia="ru-RU"/>
        </w:rPr>
        <w:t>38437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4963">
        <w:rPr>
          <w:rFonts w:ascii="Times New Roman" w:hAnsi="Times New Roman"/>
          <w:sz w:val="28"/>
          <w:szCs w:val="28"/>
          <w:lang w:eastAsia="ru-RU"/>
        </w:rPr>
        <w:t>восемь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E1A20">
        <w:rPr>
          <w:rFonts w:ascii="Times New Roman" w:hAnsi="Times New Roman"/>
          <w:sz w:val="28"/>
          <w:szCs w:val="28"/>
          <w:lang w:eastAsia="ru-RU"/>
        </w:rPr>
        <w:t>ов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963">
        <w:rPr>
          <w:rFonts w:ascii="Times New Roman" w:hAnsi="Times New Roman"/>
          <w:sz w:val="28"/>
          <w:szCs w:val="28"/>
          <w:lang w:eastAsia="ru-RU"/>
        </w:rPr>
        <w:t>четыреста тридцать семь</w:t>
      </w:r>
      <w:r w:rsidR="00FE1A20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4.5pt;height:18pt;visibility:visible">
            <v:imagedata r:id="rId10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7.75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0.25pt;height:17.25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2.25pt;height:18pt;visibility:visible">
            <v:imagedata r:id="rId13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.75pt;height:18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5.75pt;height:18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25pt;height:16.5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5pt;height:18pt;visibility:visible">
            <v:imagedata r:id="rId17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8pt;height:18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3.25pt;height:18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7.75pt;height:18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5pt;height:18pt;visibility:visible">
            <v:imagedata r:id="rId17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8pt;height:18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3.25pt;height:18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7.75pt;height:18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pt;height:18pt;visibility:visible">
            <v:imagedata r:id="rId21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8pt;height:18pt;visibility:visible">
            <v:imagedata r:id="rId22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5pt;height:18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pt;height:18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4" type="#_x0000_t75" style="width:33pt;height:18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6pt;height:33pt;visibility:visible">
            <v:imagedata r:id="rId26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75pt;height:18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5pt;height:18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F132A0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25pt;height:18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F132A0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5pt;height:18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75pt;height:33pt;visibility:visible">
            <v:imagedata r:id="rId30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3.5pt;height:18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5pt;height:20.25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75pt;height:18pt;visibility:visible">
            <v:imagedata r:id="rId33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75pt;height:18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75pt;height:18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8pt;height:18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5pt;height:18pt;visibility:visible">
            <v:imagedata r:id="rId37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6pt;height:18pt;visibility:visible">
            <v:imagedata r:id="rId38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pt;height:18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7.75pt;height:18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7.75pt;height:18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25pt;height:33pt;visibility:visible">
            <v:imagedata r:id="rId42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7.75pt;height:18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pt;height:18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F132A0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25pt;height:18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F132A0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pt;height:18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1.5pt;height:33pt;visibility:visible">
            <v:imagedata r:id="rId46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3.5pt;height:18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5pt;height:20.25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25pt;height:37.5pt;visibility:visible">
            <v:imagedata r:id="rId49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1" type="#_x0000_t75" style="width:24pt;height:18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7.75pt;height:18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75pt;height:18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3.5pt;height:18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3.5pt;height:18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8pt;visibility:visible">
            <v:imagedata r:id="rId54" o:title=""/>
          </v:shape>
        </w:pict>
      </w:r>
    </w:p>
    <w:p w:rsidR="00906FAE" w:rsidRPr="00DA1071" w:rsidRDefault="00F132A0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5pt;height:18pt;visibility:visible">
            <v:imagedata r:id="rId5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F132A0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4pt;height:18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F132A0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4pt;height:18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F132A0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4pt;height:18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781"/>
        <w:gridCol w:w="73"/>
        <w:gridCol w:w="709"/>
        <w:gridCol w:w="142"/>
        <w:gridCol w:w="1275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(тыс.руб.)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E4CA0" w:rsidP="00D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38437,0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E4CA0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38437,0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E4CA0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E4CA0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725</w:t>
            </w:r>
            <w:r w:rsidR="007A4EDD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E4CA0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E4CA0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725</w:t>
            </w:r>
            <w:r w:rsidR="007A4EDD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C529CB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98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C529CB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98</w:t>
            </w:r>
            <w:r w:rsidR="00FE1A20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6646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6646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85,3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85,3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24197,5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>
            <w:pPr>
              <w:rPr>
                <w:sz w:val="24"/>
                <w:szCs w:val="24"/>
              </w:rPr>
            </w:pPr>
            <w:r w:rsidRPr="00C529CB">
              <w:rPr>
                <w:sz w:val="24"/>
                <w:szCs w:val="24"/>
              </w:rPr>
              <w:t>6990,0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24197,5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rPr>
                <w:sz w:val="24"/>
                <w:szCs w:val="24"/>
              </w:rPr>
            </w:pPr>
            <w:r w:rsidRPr="00C529CB">
              <w:rPr>
                <w:sz w:val="24"/>
                <w:szCs w:val="24"/>
              </w:rPr>
              <w:t>6990,0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6228,8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6228,8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E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A0" w:rsidRDefault="00F132A0">
      <w:pPr>
        <w:spacing w:after="0" w:line="240" w:lineRule="auto"/>
      </w:pPr>
      <w:r>
        <w:separator/>
      </w:r>
    </w:p>
  </w:endnote>
  <w:endnote w:type="continuationSeparator" w:id="0">
    <w:p w:rsidR="00F132A0" w:rsidRDefault="00F1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A0" w:rsidRDefault="00F132A0">
      <w:pPr>
        <w:spacing w:after="0" w:line="240" w:lineRule="auto"/>
      </w:pPr>
      <w:r>
        <w:separator/>
      </w:r>
    </w:p>
  </w:footnote>
  <w:footnote w:type="continuationSeparator" w:id="0">
    <w:p w:rsidR="00F132A0" w:rsidRDefault="00F1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63" w:rsidRDefault="00EA49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A4963" w:rsidRDefault="00EA49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63" w:rsidRDefault="00EA49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A4963" w:rsidRDefault="00EA49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517B0"/>
    <w:rsid w:val="00066772"/>
    <w:rsid w:val="000845EC"/>
    <w:rsid w:val="00091E6B"/>
    <w:rsid w:val="000A34C6"/>
    <w:rsid w:val="000B0082"/>
    <w:rsid w:val="000B3802"/>
    <w:rsid w:val="000D34B6"/>
    <w:rsid w:val="000D76BA"/>
    <w:rsid w:val="000E4CA0"/>
    <w:rsid w:val="000E62CD"/>
    <w:rsid w:val="000F4984"/>
    <w:rsid w:val="000F514F"/>
    <w:rsid w:val="000F657B"/>
    <w:rsid w:val="000F76DA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93207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481E"/>
    <w:rsid w:val="003E394A"/>
    <w:rsid w:val="0043099A"/>
    <w:rsid w:val="00430C84"/>
    <w:rsid w:val="00434674"/>
    <w:rsid w:val="004405A8"/>
    <w:rsid w:val="0044659E"/>
    <w:rsid w:val="00451655"/>
    <w:rsid w:val="00452C41"/>
    <w:rsid w:val="00476E1D"/>
    <w:rsid w:val="00495905"/>
    <w:rsid w:val="00497444"/>
    <w:rsid w:val="004A2F1E"/>
    <w:rsid w:val="004B1301"/>
    <w:rsid w:val="004B731A"/>
    <w:rsid w:val="004B75D8"/>
    <w:rsid w:val="004F0AC1"/>
    <w:rsid w:val="0050289F"/>
    <w:rsid w:val="0050597B"/>
    <w:rsid w:val="00507A75"/>
    <w:rsid w:val="00510448"/>
    <w:rsid w:val="0051723A"/>
    <w:rsid w:val="00547E06"/>
    <w:rsid w:val="00550774"/>
    <w:rsid w:val="005717AD"/>
    <w:rsid w:val="0058706E"/>
    <w:rsid w:val="005A29AA"/>
    <w:rsid w:val="005A4247"/>
    <w:rsid w:val="005A7B29"/>
    <w:rsid w:val="005B32A1"/>
    <w:rsid w:val="005D3EE6"/>
    <w:rsid w:val="005E7E12"/>
    <w:rsid w:val="005F2B75"/>
    <w:rsid w:val="0060770B"/>
    <w:rsid w:val="00612524"/>
    <w:rsid w:val="00622BF8"/>
    <w:rsid w:val="00626A7E"/>
    <w:rsid w:val="006456EC"/>
    <w:rsid w:val="006601F8"/>
    <w:rsid w:val="00666468"/>
    <w:rsid w:val="00666F33"/>
    <w:rsid w:val="00673B0D"/>
    <w:rsid w:val="00685D9C"/>
    <w:rsid w:val="006A0BC6"/>
    <w:rsid w:val="006B2A91"/>
    <w:rsid w:val="006B69E5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C22B5"/>
    <w:rsid w:val="007C6076"/>
    <w:rsid w:val="00803185"/>
    <w:rsid w:val="00803D6D"/>
    <w:rsid w:val="00825D69"/>
    <w:rsid w:val="00850A8A"/>
    <w:rsid w:val="00855625"/>
    <w:rsid w:val="00863FBA"/>
    <w:rsid w:val="008778D6"/>
    <w:rsid w:val="008873CF"/>
    <w:rsid w:val="008A3013"/>
    <w:rsid w:val="008B4411"/>
    <w:rsid w:val="008C50B2"/>
    <w:rsid w:val="008D1F0E"/>
    <w:rsid w:val="008D7758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407A9"/>
    <w:rsid w:val="009544B8"/>
    <w:rsid w:val="0096566A"/>
    <w:rsid w:val="00966352"/>
    <w:rsid w:val="00972298"/>
    <w:rsid w:val="0097268B"/>
    <w:rsid w:val="009832C1"/>
    <w:rsid w:val="00986DEC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422A4"/>
    <w:rsid w:val="00A6072A"/>
    <w:rsid w:val="00A61B3F"/>
    <w:rsid w:val="00A63B68"/>
    <w:rsid w:val="00A64F9A"/>
    <w:rsid w:val="00A67904"/>
    <w:rsid w:val="00A70DD2"/>
    <w:rsid w:val="00A74547"/>
    <w:rsid w:val="00A80E5F"/>
    <w:rsid w:val="00A82E63"/>
    <w:rsid w:val="00A83D68"/>
    <w:rsid w:val="00A914A9"/>
    <w:rsid w:val="00AB6CEB"/>
    <w:rsid w:val="00AC4BA4"/>
    <w:rsid w:val="00AC4D69"/>
    <w:rsid w:val="00AD00A6"/>
    <w:rsid w:val="00AE22A7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47504"/>
    <w:rsid w:val="00C529CB"/>
    <w:rsid w:val="00C74865"/>
    <w:rsid w:val="00C80322"/>
    <w:rsid w:val="00C83BAA"/>
    <w:rsid w:val="00C87184"/>
    <w:rsid w:val="00C87824"/>
    <w:rsid w:val="00C92638"/>
    <w:rsid w:val="00C94EBE"/>
    <w:rsid w:val="00CA2DC8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405E4"/>
    <w:rsid w:val="00D41A3F"/>
    <w:rsid w:val="00D42101"/>
    <w:rsid w:val="00D43198"/>
    <w:rsid w:val="00D45123"/>
    <w:rsid w:val="00D62747"/>
    <w:rsid w:val="00D65668"/>
    <w:rsid w:val="00D67953"/>
    <w:rsid w:val="00D815C1"/>
    <w:rsid w:val="00D82915"/>
    <w:rsid w:val="00DA0EEA"/>
    <w:rsid w:val="00DA1071"/>
    <w:rsid w:val="00DB118B"/>
    <w:rsid w:val="00DB25AD"/>
    <w:rsid w:val="00DB55DF"/>
    <w:rsid w:val="00DD3E40"/>
    <w:rsid w:val="00DF31D9"/>
    <w:rsid w:val="00DF45F8"/>
    <w:rsid w:val="00DF77C1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E1A20"/>
    <w:rsid w:val="00FF09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E15B-7F95-4AC9-AEB3-C72EE9D9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27</Pages>
  <Words>7657</Words>
  <Characters>43647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18</cp:revision>
  <cp:lastPrinted>2019-02-21T07:54:00Z</cp:lastPrinted>
  <dcterms:created xsi:type="dcterms:W3CDTF">2016-03-16T08:43:00Z</dcterms:created>
  <dcterms:modified xsi:type="dcterms:W3CDTF">2019-02-21T07:54:00Z</dcterms:modified>
</cp:coreProperties>
</file>